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3"/>
        <w:bidi w:val="0"/>
        <w:spacing w:before="140" w:after="120"/>
        <w:jc w:val="start"/>
        <w:rPr/>
      </w:pPr>
      <w:r>
        <w:rPr/>
        <w:t>1. Identifier un point commun et une différence entres les conversions directes et les conversions indirectes d’énergie mécaniques ?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Le points commun entre ces deux mode de fonctionnement c’est que les deux fonctionnent a base de turbine et d’alternateur. Cependant la différences c’est que les centrales a conversion directes ont une étapes en moins que celle directes. Par exemple pour les centrales nucléaires il faut </w:t>
      </w:r>
      <w:r>
        <w:rPr>
          <w:b w:val="false"/>
          <w:bCs w:val="false"/>
        </w:rPr>
        <w:t xml:space="preserve">fissionner </w:t>
      </w:r>
      <w:r>
        <w:rPr>
          <w:b w:val="false"/>
          <w:bCs w:val="false"/>
        </w:rPr>
        <w:t xml:space="preserve"> de l’uranium 235  ce qui va produire de la chaleur avant de faire tourner la turbine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re3"/>
        <w:bidi w:val="0"/>
        <w:jc w:val="start"/>
        <w:rPr/>
      </w:pPr>
      <w:r>
        <w:rPr/>
        <w:t>2. Expliquer la conversion d’énergie chimique en énergie électrique dans les piles.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Lors de la conversion de l’énergie chimique en énergie électrique nous avons une réaction </w:t>
      </w:r>
      <w:r>
        <w:rPr>
          <w:b w:val="false"/>
          <w:bCs w:val="false"/>
        </w:rPr>
        <w:t>d’oxydoréduction</w:t>
      </w:r>
      <w:r>
        <w:rPr>
          <w:b w:val="false"/>
          <w:bCs w:val="false"/>
        </w:rPr>
        <w:t xml:space="preserve"> qui engendre un transfert d’électrons d’un réactif a l’autre. Par exemple dans la pile les réactifs sont séparer dans deux compartiments ce qui empêche les réactions. Et lorsque l’on relis ces compartiments a l’aide d’un courant on donne lieux a une réactions et donc a la conversion de l’énergie chimique en énergie électrique 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Titre3"/>
        <w:bidi w:val="0"/>
        <w:jc w:val="start"/>
        <w:rPr/>
      </w:pPr>
      <w:r>
        <w:rPr/>
        <w:t>3. Comparer l’énergie électrique fournie en 2017 par le photovoltaïque à celle fournie par le nucléaire.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D’après le doc 3 en 2017 on a 379,1 TW.H d’énergie électrique alors que pour le photovoltaïque nous avons que 9,2 TW.H toujours en 2017 et d’après le doc 4. nous avons donc  </w:t>
      </w:r>
      <w:r>
        <w:rPr>
          <w:b w:val="false"/>
          <w:bCs w:val="false"/>
        </w:rPr>
        <w:t xml:space="preserve">environ 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>1,2</w:t>
      </w:r>
      <w:r>
        <w:rPr>
          <w:b w:val="false"/>
          <w:bCs w:val="false"/>
        </w:rPr>
        <w:t xml:space="preserve"> fois plus d’énergie a travers une centrales nucléaire.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br/>
      </w:r>
      <w:r>
        <w:br w:type="page"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Titre3"/>
        <w:bidi w:val="0"/>
        <w:jc w:val="start"/>
        <w:rPr/>
      </w:pPr>
      <w:r>
        <w:rPr/>
        <w:t>4. Réaliser les chaînes énergétiques associées à chaque dispositif présenté.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Pile usuelle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chimique 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Pile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électrique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thermique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Pile à hydrogène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chimique 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Pile 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électrique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thermique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Centrale hydroélectrique hydrolienne et éolienne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mécanique 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Turbine  / alternateur 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électrique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thermique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Centrale nucléaire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thermique 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Matériaux fissile ( énergie radioactive )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Circuit d’eau primaire  ( énergie thermique )</w:t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Circuit d’eau secondaire ( énergie mécanique )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Turbine / alternateur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électrique </w:t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Énergie thermique</w:t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thermique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Panneaux solaire thermique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thermique</w:t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radiative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Panneaux</w:t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Énergie thermique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Alternateur et turbine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électrique </w:t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Thermique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Panneaux photovoltaïque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radiative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Panneaux photovoltaïque</w:t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mécanique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Turbine + alternateur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électrique </w:t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Énergie thermique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bidi w:val="0"/>
      <w:jc w:val="start"/>
      <w:rPr>
        <w:b/>
        <w:b/>
        <w:bCs/>
        <w:highlight w:val="none"/>
        <w:shd w:fill="FFFF00" w:val="clear"/>
      </w:rPr>
    </w:pPr>
    <w:r>
      <w:rPr>
        <w:b/>
        <w:bCs/>
        <w:shd w:fill="FFFF00" w:val="clear"/>
      </w:rPr>
      <w:t xml:space="preserve">Mohammad Rezki </w:t>
      <w:tab/>
      <w:t xml:space="preserve">ES PHYSIQUE </w:t>
      <w:tab/>
      <w:t>PAP / TG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Titre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En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LibreOffice/7.3.2.2$Windows_X86_64 LibreOffice_project/49f2b1bff42cfccbd8f788c8dc32c1c309559be0</Application>
  <AppVersion>15.0000</AppVersion>
  <Pages>2</Pages>
  <Words>335</Words>
  <Characters>1960</Characters>
  <CharactersWithSpaces>2285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2022-12-12T21:44:24Z</dcterms:modified>
  <cp:revision>11</cp:revision>
  <dc:subject/>
  <dc:title/>
</cp:coreProperties>
</file>