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numPr>
          <w:ilvl w:val="0"/>
          <w:numId w:val="1"/>
        </w:numPr>
        <w:bidi w:val="0"/>
        <w:spacing w:before="0" w:after="170"/>
        <w:jc w:val="left"/>
        <w:rPr/>
      </w:pPr>
      <w:r>
        <w:rPr>
          <w:b/>
          <w:bCs/>
        </w:rPr>
        <w:t>Introduction :</w:t>
      </w:r>
    </w:p>
    <w:p>
      <w:pPr>
        <w:pStyle w:val="Normal"/>
        <w:bidi w:val="0"/>
        <w:jc w:val="left"/>
        <w:rPr/>
      </w:pPr>
      <w:r>
        <w:rPr>
          <w:b/>
          <w:bCs/>
        </w:rPr>
        <w:t>Hauteur </w:t>
      </w:r>
      <w:r>
        <w:rPr/>
        <w:t>: Stendhal de son vrai nom Henry Beyle</w:t>
      </w:r>
    </w:p>
    <w:p>
      <w:pPr>
        <w:pStyle w:val="Normal"/>
        <w:bidi w:val="0"/>
        <w:jc w:val="left"/>
        <w:rPr/>
      </w:pPr>
      <w:r>
        <w:rPr>
          <w:b/>
          <w:bCs/>
        </w:rPr>
        <w:t>Date </w:t>
      </w:r>
      <w:r>
        <w:rPr/>
        <w:t xml:space="preserve">: 1783-1842 XX siècle </w:t>
      </w:r>
    </w:p>
    <w:p>
      <w:pPr>
        <w:pStyle w:val="Normal"/>
        <w:bidi w:val="0"/>
        <w:jc w:val="left"/>
        <w:rPr>
          <w:b w:val="false"/>
          <w:b w:val="false"/>
          <w:bCs w:val="false"/>
        </w:rPr>
      </w:pPr>
      <w:r>
        <w:rPr>
          <w:b/>
          <w:bCs/>
        </w:rPr>
        <w:t xml:space="preserve">Mouvements : </w:t>
      </w:r>
      <w:r>
        <w:rPr>
          <w:b w:val="false"/>
          <w:bCs w:val="false"/>
        </w:rPr>
        <w:t xml:space="preserve">romantisme </w:t>
      </w:r>
    </w:p>
    <w:p>
      <w:pPr>
        <w:pStyle w:val="Normal"/>
        <w:bidi w:val="0"/>
        <w:jc w:val="left"/>
        <w:rPr>
          <w:rFonts w:ascii="Liberation Serif" w:hAnsi="Liberation Serif"/>
          <w:b/>
          <w:b/>
          <w:bCs/>
          <w:sz w:val="21"/>
          <w:szCs w:val="21"/>
        </w:rPr>
      </w:pPr>
      <w:r>
        <w:rPr>
          <w:b/>
          <w:bCs/>
          <w:sz w:val="21"/>
          <w:szCs w:val="21"/>
        </w:rPr>
        <w:t>Registre </w:t>
      </w:r>
      <w:r>
        <w:rPr/>
        <w:t>: réaliste et romantique d’où le réalisme subjectif</w:t>
      </w:r>
    </w:p>
    <w:p>
      <w:pPr>
        <w:pStyle w:val="Normal"/>
        <w:bidi w:val="0"/>
        <w:jc w:val="left"/>
        <w:rPr/>
      </w:pPr>
      <w:r>
        <w:rPr>
          <w:b/>
          <w:bCs/>
        </w:rPr>
        <w:t>Œuvre </w:t>
      </w:r>
      <w:r>
        <w:rPr/>
        <w:t>: Le rouge et le noir (1830)</w:t>
      </w:r>
    </w:p>
    <w:p>
      <w:pPr>
        <w:pStyle w:val="Normal"/>
        <w:bidi w:val="0"/>
        <w:jc w:val="left"/>
        <w:rPr/>
      </w:pPr>
      <w:r>
        <w:rPr>
          <w:b/>
          <w:bCs/>
        </w:rPr>
        <w:t>Autres</w:t>
      </w:r>
      <w:r>
        <w:rPr/>
        <w:t xml:space="preserve"> </w:t>
      </w:r>
      <w:r>
        <w:rPr>
          <w:b/>
          <w:bCs/>
        </w:rPr>
        <w:t>œuvre </w:t>
      </w:r>
      <w:r>
        <w:rPr/>
        <w:t xml:space="preserve">: la chartreuse de parme (1838) Shakespeare (1823-1825) </w:t>
      </w:r>
    </w:p>
    <w:p>
      <w:pPr>
        <w:pStyle w:val="Normal"/>
        <w:bidi w:val="0"/>
        <w:jc w:val="left"/>
        <w:rPr/>
      </w:pPr>
      <w:r>
        <w:rPr>
          <w:b/>
          <w:bCs/>
        </w:rPr>
        <w:t>caractéristique </w:t>
      </w:r>
      <w:r>
        <w:rPr/>
        <w:t>: « sa chasse au bonheur » ses rêves</w:t>
      </w:r>
      <w:r>
        <w:rPr>
          <w:i/>
          <w:iCs/>
        </w:rPr>
        <w:t xml:space="preserve"> de gloire et d’amour, sa carrière dans l’armée son méprit de la religion et son goût pour l’Italie vont forger son style et ses héros.</w:t>
      </w:r>
    </w:p>
    <w:p>
      <w:pPr>
        <w:pStyle w:val="Normal"/>
        <w:bidi w:val="0"/>
        <w:jc w:val="left"/>
        <w:rPr/>
      </w:pPr>
      <w:r>
        <w:rPr>
          <w:b/>
          <w:bCs/>
          <w:i/>
          <w:iCs/>
        </w:rPr>
        <w:t xml:space="preserve">Le point de vu : </w:t>
      </w:r>
      <w:r>
        <w:rPr>
          <w:b w:val="false"/>
          <w:bCs w:val="false"/>
          <w:i/>
          <w:iCs/>
        </w:rPr>
        <w:t>omniscient de l‘auteur</w:t>
      </w:r>
    </w:p>
    <w:p>
      <w:pPr>
        <w:pStyle w:val="Normal"/>
        <w:bidi w:val="0"/>
        <w:jc w:val="left"/>
        <w:rPr/>
      </w:pPr>
      <w:r>
        <w:rPr/>
      </w:r>
    </w:p>
    <w:p>
      <w:pPr>
        <w:pStyle w:val="Normal"/>
        <w:bidi w:val="0"/>
        <w:jc w:val="left"/>
        <w:rPr/>
      </w:pPr>
      <w:r>
        <w:rPr>
          <w:i/>
          <w:iCs/>
        </w:rPr>
        <w:t xml:space="preserve">Le rouge et Le noir : </w:t>
      </w:r>
      <w:r>
        <w:rPr>
          <w:b w:val="false"/>
          <w:bCs w:val="false"/>
          <w:i/>
          <w:iCs/>
        </w:rPr>
        <w:t xml:space="preserve">Première partie : </w:t>
      </w:r>
      <w:r>
        <w:rPr>
          <w:i/>
          <w:iCs/>
        </w:rPr>
        <w:t>ou </w:t>
      </w:r>
      <w:r>
        <w:rPr>
          <w:b w:val="false"/>
          <w:bCs w:val="false"/>
          <w:i/>
          <w:iCs/>
        </w:rPr>
        <w:t xml:space="preserve">: Verrières dans une famille de géant armé de lourde hache qui travaille la bois a la scierie. </w:t>
      </w:r>
      <w:r>
        <w:rPr>
          <w:i/>
          <w:iCs/>
        </w:rPr>
        <w:t>Julien </w:t>
      </w:r>
      <w:r>
        <w:rPr>
          <w:b w:val="false"/>
          <w:bCs w:val="false"/>
          <w:i/>
          <w:iCs/>
        </w:rPr>
        <w:t>: méprisé et martyrisé</w:t>
      </w:r>
    </w:p>
    <w:p>
      <w:pPr>
        <w:pStyle w:val="Normal"/>
        <w:bidi w:val="0"/>
        <w:jc w:val="left"/>
        <w:rPr>
          <w:b w:val="false"/>
          <w:b w:val="false"/>
          <w:bCs w:val="false"/>
          <w:i/>
          <w:i/>
          <w:iCs/>
        </w:rPr>
      </w:pPr>
      <w:r>
        <w:rPr>
          <w:b w:val="false"/>
          <w:bCs w:val="false"/>
          <w:i/>
          <w:iCs/>
        </w:rPr>
      </w:r>
    </w:p>
    <w:p>
      <w:pPr>
        <w:pStyle w:val="Normal"/>
        <w:bidi w:val="0"/>
        <w:jc w:val="left"/>
        <w:rPr/>
      </w:pPr>
      <w:r>
        <w:rPr>
          <w:b w:val="false"/>
          <w:bCs w:val="false"/>
          <w:i/>
          <w:iCs/>
        </w:rPr>
        <w:t>Nous allons voir en quoi cette extrait décrit une rencontre déterminant dans la construction identitaire du héro julien</w:t>
      </w:r>
    </w:p>
    <w:p>
      <w:pPr>
        <w:pStyle w:val="Normal"/>
        <w:bidi w:val="0"/>
        <w:jc w:val="left"/>
        <w:rPr/>
      </w:pPr>
      <w:r>
        <w:rPr/>
      </w:r>
    </w:p>
    <w:p>
      <w:pPr>
        <w:pStyle w:val="Titre1"/>
        <w:numPr>
          <w:ilvl w:val="0"/>
          <w:numId w:val="1"/>
        </w:numPr>
        <w:bidi w:val="0"/>
        <w:spacing w:before="0" w:after="227"/>
        <w:jc w:val="left"/>
        <w:rPr/>
      </w:pPr>
      <w:r>
        <w:rPr/>
        <w:t xml:space="preserve">Développement : </w:t>
      </w:r>
    </w:p>
    <w:p>
      <w:pPr>
        <w:pStyle w:val="Normal"/>
        <w:bidi w:val="0"/>
        <w:jc w:val="left"/>
        <w:rPr/>
      </w:pPr>
      <w:r>
        <w:rPr/>
        <w:t>I. (l.a à 8)  Une rencontre théâtralisé, une scène de regard :</w:t>
      </w:r>
    </w:p>
    <w:p>
      <w:pPr>
        <w:pStyle w:val="Normal"/>
        <w:bidi w:val="0"/>
        <w:jc w:val="left"/>
        <w:rPr/>
      </w:pPr>
      <w:r>
        <w:rPr/>
      </w:r>
    </w:p>
    <w:p>
      <w:pPr>
        <w:pStyle w:val="Normal"/>
        <w:numPr>
          <w:ilvl w:val="0"/>
          <w:numId w:val="2"/>
        </w:numPr>
        <w:bidi w:val="0"/>
        <w:jc w:val="left"/>
        <w:rPr/>
      </w:pPr>
      <w:r>
        <w:rPr/>
        <w:t>Inversion des codes masculin féminin une rencontre dirigé par le personnage féminin</w:t>
      </w:r>
    </w:p>
    <w:p>
      <w:pPr>
        <w:pStyle w:val="Normal"/>
        <w:numPr>
          <w:ilvl w:val="0"/>
          <w:numId w:val="2"/>
        </w:numPr>
        <w:bidi w:val="0"/>
        <w:jc w:val="left"/>
        <w:rPr/>
      </w:pPr>
      <w:r>
        <w:rPr/>
        <w:t>Le point de vu omniscient de l‘auteur</w:t>
      </w:r>
    </w:p>
    <w:p>
      <w:pPr>
        <w:pStyle w:val="Normal"/>
        <w:numPr>
          <w:ilvl w:val="0"/>
          <w:numId w:val="2"/>
        </w:numPr>
        <w:bidi w:val="0"/>
        <w:jc w:val="left"/>
        <w:rPr/>
      </w:pPr>
      <w:r>
        <w:rPr/>
        <w:t>le charme perçu a travers les deux personnage</w:t>
      </w:r>
    </w:p>
    <w:p>
      <w:pPr>
        <w:pStyle w:val="Normal"/>
        <w:numPr>
          <w:ilvl w:val="0"/>
          <w:numId w:val="2"/>
        </w:numPr>
        <w:bidi w:val="0"/>
        <w:jc w:val="left"/>
        <w:rPr/>
      </w:pPr>
      <w:r>
        <w:rPr/>
        <w:t>Une rencontre sous le signe de l’étonnement</w:t>
      </w:r>
    </w:p>
    <w:p>
      <w:pPr>
        <w:pStyle w:val="Normal"/>
        <w:bidi w:val="0"/>
        <w:jc w:val="left"/>
        <w:rPr/>
      </w:pPr>
      <w:r>
        <w:rPr/>
      </w:r>
    </w:p>
    <w:p>
      <w:pPr>
        <w:pStyle w:val="Normal"/>
        <w:bidi w:val="0"/>
        <w:jc w:val="left"/>
        <w:rPr/>
      </w:pPr>
      <w:r>
        <w:rPr/>
        <w:t>II. ( l.7-8 à la fin) : une scène de coup de foudre :</w:t>
      </w:r>
    </w:p>
    <w:p>
      <w:pPr>
        <w:pStyle w:val="Normal"/>
        <w:bidi w:val="0"/>
        <w:jc w:val="left"/>
        <w:rPr/>
      </w:pPr>
      <w:r>
        <w:rPr/>
      </w:r>
    </w:p>
    <w:p>
      <w:pPr>
        <w:pStyle w:val="Normal"/>
        <w:numPr>
          <w:ilvl w:val="0"/>
          <w:numId w:val="3"/>
        </w:numPr>
        <w:bidi w:val="0"/>
        <w:jc w:val="left"/>
        <w:rPr/>
      </w:pPr>
      <w:r>
        <w:rPr/>
        <w:t>La beauté respective des deux personnage.</w:t>
      </w:r>
    </w:p>
    <w:p>
      <w:pPr>
        <w:pStyle w:val="Normal"/>
        <w:numPr>
          <w:ilvl w:val="0"/>
          <w:numId w:val="3"/>
        </w:numPr>
        <w:bidi w:val="0"/>
        <w:jc w:val="left"/>
        <w:rPr/>
      </w:pPr>
      <w:r>
        <w:rPr/>
        <w:t>L’attraction partagé</w:t>
      </w:r>
    </w:p>
    <w:p>
      <w:pPr>
        <w:pStyle w:val="Normal"/>
        <w:numPr>
          <w:ilvl w:val="0"/>
          <w:numId w:val="3"/>
        </w:numPr>
        <w:bidi w:val="0"/>
        <w:jc w:val="left"/>
        <w:rPr/>
      </w:pPr>
      <w:r>
        <w:rPr/>
        <w:t>la réalité face à la pensé de Mme de Rhénal</w:t>
      </w:r>
    </w:p>
    <w:p>
      <w:pPr>
        <w:pStyle w:val="Normal"/>
        <w:numPr>
          <w:ilvl w:val="0"/>
          <w:numId w:val="3"/>
        </w:numPr>
        <w:bidi w:val="0"/>
        <w:jc w:val="left"/>
        <w:rPr/>
      </w:pPr>
      <w:r>
        <w:rPr/>
        <w:t>l’instinct maternel</w:t>
      </w:r>
    </w:p>
    <w:p>
      <w:pPr>
        <w:pStyle w:val="Normal"/>
        <w:bidi w:val="0"/>
        <w:jc w:val="left"/>
        <w:rPr>
          <w:b/>
          <w:b/>
          <w:bCs/>
        </w:rPr>
      </w:pPr>
      <w:r>
        <w:rPr>
          <w:b/>
          <w:bCs/>
        </w:rPr>
      </w:r>
    </w:p>
    <w:p>
      <w:pPr>
        <w:pStyle w:val="Titre1"/>
        <w:numPr>
          <w:ilvl w:val="0"/>
          <w:numId w:val="1"/>
        </w:numPr>
        <w:bidi w:val="0"/>
        <w:spacing w:before="0" w:after="170"/>
        <w:jc w:val="left"/>
        <w:rPr/>
      </w:pPr>
      <w:r>
        <w:rPr/>
        <w:t>Conclusion :</w:t>
      </w:r>
    </w:p>
    <w:p>
      <w:pPr>
        <w:pStyle w:val="Corpsdetexte"/>
        <w:bidi w:val="0"/>
        <w:spacing w:before="0" w:after="140"/>
        <w:jc w:val="left"/>
        <w:rPr/>
      </w:pPr>
      <w:r>
        <w:rPr/>
        <w:t>Pour conclure il s’agit belle et bien d’une rencontre amoureuse, et donc la construction de l’identité affective du personnage. Il s’agit du début de son ascension. De plus le cadre dans lequel ce déroule l’action n’est pas adapté a une rencontre professionnel, mais plutôt à une rencontre amoureuse. Un jardin lieu autrement symbolique, moins conventionnel qui permet plus de liberté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1">
    <w:name w:val="Heading 1"/>
    <w:basedOn w:val="Titre"/>
    <w:next w:val="Corpsdetexte"/>
    <w:qFormat/>
    <w:pPr>
      <w:numPr>
        <w:ilvl w:val="0"/>
        <w:numId w:val="1"/>
      </w:numPr>
      <w:spacing w:before="240" w:after="120"/>
      <w:outlineLvl w:val="0"/>
    </w:pPr>
    <w:rPr>
      <w:b/>
      <w:bCs/>
      <w:sz w:val="36"/>
      <w:szCs w:val="36"/>
    </w:rPr>
  </w:style>
  <w:style w:type="paragraph" w:styleId="Titre2">
    <w:name w:val="Heading 2"/>
    <w:basedOn w:val="Titre"/>
    <w:next w:val="Corpsdetexte"/>
    <w:qFormat/>
    <w:pPr>
      <w:numPr>
        <w:ilvl w:val="1"/>
        <w:numId w:val="1"/>
      </w:numPr>
      <w:spacing w:before="200" w:after="120"/>
      <w:outlineLvl w:val="1"/>
    </w:pPr>
    <w:rPr>
      <w:b/>
      <w:bCs/>
      <w:sz w:val="32"/>
      <w:szCs w:val="32"/>
    </w:rPr>
  </w:style>
  <w:style w:type="paragraph" w:styleId="Titre3">
    <w:name w:val="Heading 3"/>
    <w:basedOn w:val="Titre"/>
    <w:next w:val="Corpsdetexte"/>
    <w:qFormat/>
    <w:pPr>
      <w:numPr>
        <w:ilvl w:val="2"/>
        <w:numId w:val="1"/>
      </w:numPr>
      <w:spacing w:before="140" w:after="120"/>
      <w:outlineLvl w:val="2"/>
    </w:pPr>
    <w:rPr>
      <w:b/>
      <w:bCs/>
      <w:sz w:val="28"/>
      <w:szCs w:val="28"/>
    </w:rPr>
  </w:style>
  <w:style w:type="paragraph" w:styleId="Titre4">
    <w:name w:val="Heading 4"/>
    <w:basedOn w:val="Titre"/>
    <w:next w:val="Corpsdetexte"/>
    <w:qFormat/>
    <w:pPr>
      <w:numPr>
        <w:ilvl w:val="3"/>
        <w:numId w:val="1"/>
      </w:numPr>
      <w:spacing w:before="120" w:after="120"/>
      <w:outlineLvl w:val="3"/>
    </w:pPr>
    <w:rPr>
      <w:b/>
      <w:bCs/>
      <w:i/>
      <w:iCs/>
      <w:sz w:val="26"/>
      <w:szCs w:val="26"/>
    </w:rPr>
  </w:style>
  <w:style w:type="paragraph" w:styleId="Titre5">
    <w:name w:val="Heading 5"/>
    <w:basedOn w:val="Titre"/>
    <w:next w:val="Corpsdetexte"/>
    <w:qFormat/>
    <w:pPr>
      <w:numPr>
        <w:ilvl w:val="4"/>
        <w:numId w:val="1"/>
      </w:numPr>
      <w:spacing w:before="120" w:after="60"/>
      <w:outlineLvl w:val="4"/>
    </w:pPr>
    <w:rPr>
      <w:b/>
      <w:bCs/>
      <w:sz w:val="24"/>
      <w:szCs w:val="24"/>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Standard">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Textbody">
    <w:name w:val="Text body"/>
    <w:basedOn w:val="Standard"/>
    <w:qFormat/>
    <w:pPr>
      <w:spacing w:lineRule="auto" w:line="276" w:before="0" w:after="14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LibreOffice/7.3.2.2$Windows_X86_64 LibreOffice_project/49f2b1bff42cfccbd8f788c8dc32c1c309559be0</Application>
  <AppVersion>15.0000</AppVersion>
  <Pages>1</Pages>
  <Words>293</Words>
  <Characters>1388</Characters>
  <CharactersWithSpaces>1654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2022-05-11T14:35:43Z</dcterms:created>
  <dc:creator/>
  <dc:description/>
  <dc:language>fr-FR</dc:language>
  <cp:lastModifiedBy/>
  <dcterms:modified xsi:type="dcterms:W3CDTF">2022-05-11T18:17:53Z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